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4" w:type="dxa"/>
        <w:tblInd w:w="-717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1617"/>
        <w:gridCol w:w="1032"/>
        <w:gridCol w:w="3307"/>
        <w:gridCol w:w="2073"/>
        <w:gridCol w:w="2605"/>
        <w:gridCol w:w="140"/>
      </w:tblGrid>
      <w:tr w:rsidR="00000000" w:rsidTr="006074BF">
        <w:trPr>
          <w:trHeight w:val="90"/>
        </w:trPr>
        <w:tc>
          <w:tcPr>
            <w:tcW w:w="140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0D3C8F5" wp14:editId="77D121C3">
                  <wp:extent cx="1552575" cy="508568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1617358" cy="5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260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pStyle w:val="StandardWeb"/>
              <w:jc w:val="center"/>
            </w:pPr>
            <w:proofErr w:type="spellStart"/>
            <w:r w:rsidRPr="006074BF">
              <w:rPr>
                <w:rFonts w:ascii="Arial" w:hAnsi="Arial" w:cs="Arial"/>
                <w:b/>
                <w:bCs/>
                <w:sz w:val="32"/>
              </w:rPr>
              <w:t>Bleach</w:t>
            </w:r>
            <w:proofErr w:type="spellEnd"/>
            <w:r w:rsidRPr="006074BF">
              <w:rPr>
                <w:rFonts w:ascii="Arial" w:hAnsi="Arial" w:cs="Arial"/>
                <w:b/>
                <w:bCs/>
                <w:sz w:val="32"/>
              </w:rPr>
              <w:t xml:space="preserve"> G</w:t>
            </w:r>
            <w:r w:rsidRPr="006074BF">
              <w:rPr>
                <w:sz w:val="32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6074BF">
              <w:rPr>
                <w:rFonts w:ascii="Arial" w:hAnsi="Arial" w:cs="Arial"/>
                <w:sz w:val="20"/>
                <w:szCs w:val="15"/>
              </w:rPr>
              <w:t>Graffiti-Schatten-Entferner</w:t>
            </w:r>
            <w:r>
              <w:t xml:space="preserve"> </w:t>
            </w:r>
            <w:r w:rsidRPr="00A061B0">
              <w:rPr>
                <w:rFonts w:ascii="Arial" w:hAnsi="Arial" w:cs="Arial"/>
                <w:sz w:val="20"/>
                <w:szCs w:val="15"/>
              </w:rPr>
              <w:t>(GE-001)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M E N S C H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 U N D   U M W E L T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6074BF" w:rsidRDefault="006074BF" w:rsidP="006074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Bild 1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 w:rsidP="006074BF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schwere Verätzungen der Haut und schwere Augenschäden. (H314)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Gefahr irreversibler Schäden am Auge durch Verätzungen!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sz w:val="15"/>
                <w:szCs w:val="15"/>
              </w:rPr>
              <w:t xml:space="preserve"> Von stark sauren und alkalischen Materialien sowie Oxydationsmitteln fernhalten, um exotherme Reaktionen zu vermeiden.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Zersetzungsprodukte:</w:t>
            </w:r>
            <w:r>
              <w:rPr>
                <w:rFonts w:ascii="Arial" w:hAnsi="Arial" w:cs="Arial"/>
                <w:sz w:val="15"/>
                <w:szCs w:val="15"/>
              </w:rPr>
              <w:t xml:space="preserve"> Bei ho</w:t>
            </w: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</w:rPr>
              <w:t>hen Temperaturen können gefährliche Zersetzungsprodu</w:t>
            </w:r>
            <w:r>
              <w:rPr>
                <w:rFonts w:ascii="Arial" w:hAnsi="Arial" w:cs="Arial"/>
                <w:sz w:val="15"/>
                <w:szCs w:val="15"/>
              </w:rPr>
              <w:t>kte, wie z.B. Kohlendioxid, Kohlenmonoxid, Rauch, Stickoxide, entstehen.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3" name="Bild 3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 w:rsidP="006074BF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</w:t>
            </w:r>
            <w:r>
              <w:rPr>
                <w:rFonts w:ascii="Arial" w:hAnsi="Arial" w:cs="Arial"/>
                <w:sz w:val="15"/>
                <w:szCs w:val="15"/>
              </w:rPr>
              <w:t xml:space="preserve">in ihrem Wirkungsbereich arbeiten. Gefäße nicht offen stehen lassen. Beim Ab- und Umfüllen Verspritzen und Nachlauf vermeiden. Reaktionsfähige Stoffe fernhalten bzw. nur kontrolliert hinzugeben.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Nicht essen, trinken, rauchen oder schnupfen. Einatmen von </w:t>
            </w:r>
            <w:r>
              <w:rPr>
                <w:rFonts w:ascii="Arial" w:hAnsi="Arial" w:cs="Arial"/>
                <w:sz w:val="15"/>
                <w:szCs w:val="15"/>
              </w:rPr>
              <w:t>Dämpfen oder Nebeln vermeiden. Berührung mit Augen, Haut und Kleidung vermeiden. Nach Arbeitsende und vor jeder Pause Hände und andere verschmutzte Körperstellen gründlich reinigen. Hautpflegemittel verwenden. Straßenkleidung getrennt von Arbeitskleidung a</w:t>
            </w:r>
            <w:r>
              <w:rPr>
                <w:rFonts w:ascii="Arial" w:hAnsi="Arial" w:cs="Arial"/>
                <w:sz w:val="15"/>
                <w:szCs w:val="15"/>
              </w:rPr>
              <w:t xml:space="preserve">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 xml:space="preserve">Behälter dicht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Vollmaske oder Mundstückgarnitur mit Partikelfilter: Maximale Einsatzkonzentration für Stoffe mit </w:t>
            </w:r>
            <w:r>
              <w:rPr>
                <w:rFonts w:ascii="Arial" w:hAnsi="Arial" w:cs="Arial"/>
                <w:sz w:val="15"/>
                <w:szCs w:val="15"/>
              </w:rPr>
              <w:t>Grenzwerten: P1-Filter bis max. 4-facher Grenzwert; P2-Filter bis max. 15-facher Grenzwert; P3-Filter bis max. 400-facher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Lösemittelbeständige Schutzhandschuhe tragen. Geeignete, nach EN374 getestete Handschuhe tragen. Durchdringung</w:t>
            </w:r>
            <w:r>
              <w:rPr>
                <w:rFonts w:ascii="Arial" w:hAnsi="Arial" w:cs="Arial"/>
                <w:sz w:val="15"/>
                <w:szCs w:val="15"/>
              </w:rPr>
              <w:t xml:space="preserve">szeit (maximale Tragedauer)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Geeignetes Material : NR (Naturkautschuk, Naturlatex)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Erforderliche Eigenschaften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Durchdringungszeit (maximale Tragedauer) :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>Dicke des Handschuhmater</w:t>
            </w:r>
            <w:r>
              <w:rPr>
                <w:rFonts w:ascii="Arial" w:hAnsi="Arial" w:cs="Arial"/>
                <w:sz w:val="15"/>
                <w:szCs w:val="15"/>
              </w:rPr>
              <w:t xml:space="preserve">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Kunststoffschürze!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39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6074B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67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 w:rsidP="006074BF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Gefahrenbereich räumen und absperren, Vorgesetzten informieren. Bei der Beseitigung von ausgelaufenem/verschütteten Produkt immer Schutzbrille, Handschuhe sowie bei größeren Mengen Atemschutz tragen. Mit saugfähigem unbrennbaren Material (z.B. Kieselgur, S</w:t>
            </w:r>
            <w:r>
              <w:rPr>
                <w:rFonts w:ascii="Arial" w:hAnsi="Arial" w:cs="Arial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Produkt brennt unter normalen Umständen nicht. Im Brandfall Löschmaßnahmen auf Umgebung abstimmen. Bei Brand in der Umgebung Behälter mit Sprühwasser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und Explosionsgefahr bei starker Erwärmung! Bei Brand entst</w:t>
            </w:r>
            <w:r>
              <w:rPr>
                <w:rFonts w:ascii="Arial" w:hAnsi="Arial" w:cs="Arial"/>
                <w:sz w:val="15"/>
                <w:szCs w:val="15"/>
              </w:rPr>
              <w:t>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rPr>
          <w:trHeight w:val="231"/>
        </w:trPr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39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67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Bild 5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 w:rsidP="006074BF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"Schockbekämpfung" situations</w:t>
            </w:r>
            <w:r>
              <w:rPr>
                <w:rFonts w:ascii="Arial" w:hAnsi="Arial" w:cs="Arial"/>
                <w:sz w:val="15"/>
                <w:szCs w:val="15"/>
              </w:rPr>
              <w:t xml:space="preserve">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</w:t>
            </w:r>
            <w:r>
              <w:rPr>
                <w:rFonts w:ascii="Arial" w:hAnsi="Arial" w:cs="Arial"/>
                <w:sz w:val="15"/>
                <w:szCs w:val="15"/>
              </w:rPr>
              <w:t xml:space="preserve">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Verunreinigte Kleidung, auch Unterwäsche und Schuhe, sofort ausziehen. 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>Verletzte</w:t>
            </w:r>
            <w:r>
              <w:rPr>
                <w:rFonts w:ascii="Arial" w:hAnsi="Arial" w:cs="Arial"/>
                <w:sz w:val="15"/>
                <w:szCs w:val="15"/>
              </w:rPr>
              <w:t>n unter Selbstschutz aus dem Gefahrenbereich bringen. Verletzten unter Selbstschutz aus dem Gefahrenbereich bringen (Achtung: der Verletzte sollte - wenn möglich - getragen oder gefahren werden, Lagerung mit erhöhtem Oberkörper). Bei Atemnot Sauerstoff inh</w:t>
            </w:r>
            <w:r>
              <w:rPr>
                <w:rFonts w:ascii="Arial" w:hAnsi="Arial" w:cs="Arial"/>
                <w:sz w:val="15"/>
                <w:szCs w:val="15"/>
              </w:rPr>
              <w:t xml:space="preserve">alieren lassen. Bei Atemstillstand künstliche Beatmung: Beatmungshilfen benutzen. Sofort ein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Kortisonspray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einatmen lassen. Dosierung, Art der Anwendung und weitere Behandlung nach betriebsärztlicher Anordnung.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>Sofortiges kräftiges Auss</w:t>
            </w:r>
            <w:r>
              <w:rPr>
                <w:rFonts w:ascii="Arial" w:hAnsi="Arial" w:cs="Arial"/>
                <w:sz w:val="15"/>
                <w:szCs w:val="15"/>
              </w:rPr>
              <w:t xml:space="preserve">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074B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1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074BF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Produktreste sind Sondermüll und werden getrennt gesammelt.</w:t>
            </w: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074BF">
        <w:trPr>
          <w:trHeight w:val="90"/>
        </w:trPr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074B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074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074BF">
      <w:pPr>
        <w:rPr>
          <w:rFonts w:eastAsia="Times New Roman"/>
        </w:rPr>
      </w:pPr>
    </w:p>
    <w:sectPr w:rsidR="00000000" w:rsidSect="006074B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74BF"/>
    <w:rsid w:val="006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1DF8-6908-406E-8B91-257ED25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handschuh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atemschutz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schutzbrille.gif" TargetMode="External"/><Relationship Id="rId11" Type="http://schemas.openxmlformats.org/officeDocument/2006/relationships/theme" Target="theme/theme1.xml"/><Relationship Id="rId5" Type="http://schemas.openxmlformats.org/officeDocument/2006/relationships/image" Target="https://ssl.gischem.de/images/ghs100/GHS0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erste_hilf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2015-08-18T11:33:00Z</dcterms:created>
  <dcterms:modified xsi:type="dcterms:W3CDTF">2015-08-18T11:33:00Z</dcterms:modified>
</cp:coreProperties>
</file>