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463"/>
        <w:gridCol w:w="1035"/>
        <w:gridCol w:w="3220"/>
        <w:gridCol w:w="2254"/>
        <w:gridCol w:w="1676"/>
        <w:gridCol w:w="126"/>
      </w:tblGrid>
      <w:tr w:rsidR="00000000">
        <w:trPr>
          <w:trHeight w:val="90"/>
        </w:trPr>
        <w:tc>
          <w:tcPr>
            <w:tcW w:w="1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6594453" wp14:editId="799EDF6B">
                  <wp:extent cx="1495425" cy="433686"/>
                  <wp:effectExtent l="0" t="0" r="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36"/>
                          <a:stretch/>
                        </pic:blipFill>
                        <pic:spPr bwMode="auto">
                          <a:xfrm>
                            <a:off x="0" y="0"/>
                            <a:ext cx="1539236" cy="44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10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jc w:val="center"/>
            </w:pPr>
            <w:bookmarkStart w:id="0" w:name="_GoBack"/>
            <w:r w:rsidRPr="001356D6">
              <w:rPr>
                <w:rFonts w:ascii="Arial" w:hAnsi="Arial" w:cs="Arial"/>
                <w:b/>
                <w:bCs/>
                <w:sz w:val="32"/>
              </w:rPr>
              <w:t>Shadow G</w:t>
            </w:r>
            <w:bookmarkEnd w:id="0"/>
            <w:r w:rsidRPr="001356D6">
              <w:rPr>
                <w:sz w:val="32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20"/>
                <w:szCs w:val="15"/>
              </w:rPr>
              <w:t>Graffiti-Entferner (GE-005)</w:t>
            </w:r>
            <w:r w:rsidRPr="001356D6">
              <w:rPr>
                <w:sz w:val="3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50" w:type="pct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 M W E L T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 w:rsidP="001356D6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4000" cy="684000"/>
                  <wp:effectExtent l="0" t="0" r="1905" b="1905"/>
                  <wp:docPr id="1" name="Bild 1" descr="https://ssl.gischem.de/images/ghs100/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4000" cy="684000"/>
                  <wp:effectExtent l="0" t="0" r="1905" b="1905"/>
                  <wp:docPr id="2" name="Bild 2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E487272" wp14:editId="7C5B5F8B">
                  <wp:extent cx="683260" cy="682625"/>
                  <wp:effectExtent l="0" t="0" r="254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am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4350" w:type="pct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</w:t>
            </w:r>
            <w:r>
              <w:rPr>
                <w:rFonts w:ascii="Arial" w:hAnsi="Arial" w:cs="Arial"/>
                <w:sz w:val="15"/>
                <w:szCs w:val="15"/>
              </w:rPr>
              <w:t>lüssigkeit und Dampf extrem entzündbar. (H224)</w:t>
            </w:r>
            <w:r>
              <w:rPr>
                <w:rFonts w:ascii="Arial" w:hAnsi="Arial" w:cs="Arial"/>
                <w:sz w:val="15"/>
                <w:szCs w:val="15"/>
              </w:rPr>
              <w:br/>
              <w:t>Verursacht schwere Verätzungen der Haut und schwere Augenschäden. (H314)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1356D6">
              <w:rPr>
                <w:rFonts w:ascii="Arial" w:hAnsi="Arial" w:cs="Arial"/>
                <w:sz w:val="15"/>
                <w:szCs w:val="15"/>
              </w:rPr>
              <w:t>Gesundheitsschädlich bei Verschlucken.</w:t>
            </w:r>
            <w:r w:rsidRPr="001356D6">
              <w:rPr>
                <w:rFonts w:ascii="Arial" w:hAnsi="Arial" w:cs="Arial"/>
                <w:sz w:val="15"/>
                <w:szCs w:val="15"/>
              </w:rPr>
              <w:t xml:space="preserve"> (H302)</w:t>
            </w:r>
          </w:p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 irreversibler Schäden am Auge </w:t>
            </w:r>
            <w:r>
              <w:rPr>
                <w:rFonts w:ascii="Arial" w:hAnsi="Arial" w:cs="Arial"/>
                <w:sz w:val="15"/>
                <w:szCs w:val="15"/>
              </w:rPr>
              <w:t>durch Verätzungen! Gefahr des Erblindens durch Verätzungen am Auge! Gefahr durch Ansammlung explosionsfähiger Atmosphäre in Bodennähe! Bei Vorhandensein von Zündquellen erhöhte Explosionsgefahr! Erhöhte Entzündungsgefahr bei durchtränktem Material (z.B. Kl</w:t>
            </w:r>
            <w:r>
              <w:rPr>
                <w:rFonts w:ascii="Arial" w:hAnsi="Arial" w:cs="Arial"/>
                <w:sz w:val="15"/>
                <w:szCs w:val="15"/>
              </w:rPr>
              <w:t>eidung, Putzlappen).</w:t>
            </w:r>
          </w:p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sz w:val="15"/>
                <w:szCs w:val="15"/>
              </w:rPr>
              <w:t xml:space="preserve"> Von stark sauren und alkalischen Materialien sowie Oxydationsmitteln fernhalten, um exotherme Reaktionen zu vermeiden.</w:t>
            </w:r>
          </w:p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Verbrennungs-/ Zersetzungsprodukte:</w:t>
            </w:r>
            <w:r>
              <w:rPr>
                <w:rFonts w:ascii="Arial" w:hAnsi="Arial" w:cs="Arial"/>
                <w:sz w:val="15"/>
                <w:szCs w:val="15"/>
              </w:rPr>
              <w:t xml:space="preserve"> Bei hohen Temperaturen</w:t>
            </w:r>
            <w:r>
              <w:rPr>
                <w:rFonts w:ascii="Arial" w:hAnsi="Arial" w:cs="Arial"/>
                <w:sz w:val="15"/>
                <w:szCs w:val="15"/>
              </w:rPr>
              <w:t xml:space="preserve"> können gefährliche Zersetzungsprodukte, wie z.B. Kohlendioxid, Kohlenmonoxid, Rauch, Stickoxide, entstehen.</w:t>
            </w:r>
          </w:p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ssl.gischem.de/images/symbole/feu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feu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5" name="Bild 5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Bild 6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Bei Dämpfen oder Nebeln Absaugung einschalten und in ihrem Wirkungsbereich arbeiten. Gefäße nicht offen stehen lassen. Beim Ab- und Umfüllen Verspritzen und Nachlauf vermeiden. Beim Auflösen oder Verdünnen immer zuerst das Wasser und da</w:t>
            </w:r>
            <w:r>
              <w:rPr>
                <w:rFonts w:ascii="Arial" w:hAnsi="Arial" w:cs="Arial"/>
                <w:sz w:val="15"/>
                <w:szCs w:val="15"/>
              </w:rPr>
              <w:t xml:space="preserve">nn das Produkt zugeben. Temperatur kontrollieren! Reaktionsfähige Stoffe fernhalten bzw. nur kontrolliert hinzugeben.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Von Zündquellen fern halten (z.B. nicht Rauchen, keine offenen Flammen, Erden)! Feuerarbeiten nur mit schriftlicher Erlaubnis. Heißarbei</w:t>
            </w:r>
            <w:r>
              <w:rPr>
                <w:rFonts w:ascii="Arial" w:hAnsi="Arial" w:cs="Arial"/>
                <w:sz w:val="15"/>
                <w:szCs w:val="15"/>
              </w:rPr>
              <w:t xml:space="preserve">ten an Behältern und Leitungen nur nach sorgfältigem Freispülen durchführen. Explosionsgeschützte Geräte verwenden.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Nebeln vermeiden. Berührung mit Augen, Haut und Kleidung vermeiden</w:t>
            </w:r>
            <w:r>
              <w:rPr>
                <w:rFonts w:ascii="Arial" w:hAnsi="Arial" w:cs="Arial"/>
                <w:sz w:val="15"/>
                <w:szCs w:val="15"/>
              </w:rPr>
              <w:t xml:space="preserve">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Behälter dicht geschlossen an einem kühlen, gut gelüfteten Ort la</w:t>
            </w:r>
            <w:r>
              <w:rPr>
                <w:rFonts w:ascii="Arial" w:hAnsi="Arial" w:cs="Arial"/>
                <w:sz w:val="15"/>
                <w:szCs w:val="15"/>
              </w:rPr>
              <w:t xml:space="preserve">gern. Behälter nicht dem direkten Sonnenlicht aussetzen! Vorsicht bei Gebinden mit Restmengen, Explosionsgefahr! Die Zusammenlagerungsbeschränkungen sind zu beachten - nur im ausgewiesenen Lagerabschnitt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>Vollmaske oder Mundstückgarnitur mit Partikelfilter: Maximale Einsatzkonzentration für Stoffe mit Grenzwerten: P1-Filter bis max. 4-facher Grenzwert; P2-Filter bis max. 15-facher Grenzwert; P3-Filter bis max. 400-f</w:t>
            </w:r>
            <w:r>
              <w:rPr>
                <w:rFonts w:ascii="Arial" w:hAnsi="Arial" w:cs="Arial"/>
                <w:sz w:val="15"/>
                <w:szCs w:val="15"/>
              </w:rPr>
              <w:t>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Lösemittelbeständige Schutzhandschuhe tragen. Geeignete, nach EN374 getestete Handschuhe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tragen. Durchdringungszeit (maximale Tragedauer)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Geeignetes Material : NR (Naturkautschuk, </w:t>
            </w:r>
            <w:r>
              <w:rPr>
                <w:rFonts w:ascii="Arial" w:hAnsi="Arial" w:cs="Arial"/>
                <w:sz w:val="15"/>
                <w:szCs w:val="15"/>
              </w:rPr>
              <w:t xml:space="preserve">Naturlatex)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Erforderliche Eigenschaften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Durchdringungszeit (maximale Tragedauer) :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Dicke des Handschuhmaterials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Kunststof</w:t>
            </w:r>
            <w:r>
              <w:rPr>
                <w:rFonts w:ascii="Arial" w:hAnsi="Arial" w:cs="Arial"/>
                <w:sz w:val="15"/>
                <w:szCs w:val="15"/>
              </w:rPr>
              <w:t>fschürze! Antistatische und flammhemmende Schutzkleidung, z.B. Kleidung aus Baumwolle und Schuhe mit antistatischen Sohlen!</w:t>
            </w:r>
          </w:p>
          <w:p w:rsidR="001356D6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1356D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000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Gefahrenbereich räumen und absperren, Vorgesetzten informieren. Bei der Beseitigung von ausgelaufenem/verschütteten Produkt immer Schutzbrille, Handschuhe sowie bei größeren Mengen Atemschutz tragen. Mit saugfähigem unbrennbaren Material (z.B. Kieselgur, S</w:t>
            </w:r>
            <w:r>
              <w:rPr>
                <w:rFonts w:ascii="Arial" w:hAnsi="Arial" w:cs="Arial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Produkt ist brennbar. Entstehungsbrand: Tragbaren Feuerlöscher einsetzen, mindestens für Brandklasse "B". Nicht zu verwenden: Wasser im Vollstrahl! Ungeeignet: Wasser im Vollstrahl. Bei Brand in der Umgebung Behälter mit Spr</w:t>
            </w:r>
            <w:r>
              <w:rPr>
                <w:rFonts w:ascii="Arial" w:hAnsi="Arial" w:cs="Arial"/>
                <w:sz w:val="15"/>
                <w:szCs w:val="15"/>
              </w:rPr>
              <w:t xml:space="preserve">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und Explosionsgefahr bei starker Erwärmung! Bei Brand entstehen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Zustän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Bild 7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</w:t>
            </w:r>
            <w:r>
              <w:rPr>
                <w:rFonts w:ascii="Arial" w:hAnsi="Arial" w:cs="Arial"/>
                <w:sz w:val="15"/>
                <w:szCs w:val="15"/>
              </w:rPr>
              <w:t xml:space="preserve"> "Stabile Seitenlage", "Herz-Lungen-Wiederbelebung", "Schockbekämpfung" situationsabhängig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</w:t>
            </w:r>
            <w:r>
              <w:rPr>
                <w:rFonts w:ascii="Arial" w:hAnsi="Arial" w:cs="Arial"/>
                <w:sz w:val="15"/>
                <w:szCs w:val="15"/>
              </w:rPr>
              <w:t xml:space="preserve">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>Verunreinigte Kleidung, auch Unterwäsche un</w:t>
            </w:r>
            <w:r>
              <w:rPr>
                <w:rFonts w:ascii="Arial" w:hAnsi="Arial" w:cs="Arial"/>
                <w:sz w:val="15"/>
                <w:szCs w:val="15"/>
              </w:rPr>
              <w:t xml:space="preserve">d Schuhe, sofort ausziehen. Verunreinigte Kleidung, auch Unterwäsche und Schuhe, sofort ausziehen (auf Brandgefährdung achten). 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>Verletzten unter Selbstschutz aus dem Gefahrenbereich bringen. Verletzten unter Sel</w:t>
            </w:r>
            <w:r>
              <w:rPr>
                <w:rFonts w:ascii="Arial" w:hAnsi="Arial" w:cs="Arial"/>
                <w:sz w:val="15"/>
                <w:szCs w:val="15"/>
              </w:rPr>
              <w:t>bstschutz aus dem Gefahrenbereich bringen (Achtung: der Verletzte sollte - wenn möglich - getragen oder gefahren werden, Lagerung mit erhöhtem Oberkörper). Bei Atemnot Sauerstoff inhalieren lassen. Bei Atemstillstand künstliche Beatmung: Beatmungshilfen be</w:t>
            </w:r>
            <w:r>
              <w:rPr>
                <w:rFonts w:ascii="Arial" w:hAnsi="Arial" w:cs="Arial"/>
                <w:sz w:val="15"/>
                <w:szCs w:val="15"/>
              </w:rPr>
              <w:t xml:space="preserve">nutzen. Sofort ein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Kortisonspray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einatmen lassen. Dosierung, Art der Anwendung und weitere Behandlung nach betriebsärztlicher Anordnung.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356D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356D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Durchtränktes Material (z.B. Putzlappen) in unbrennbaren, verschließbaren Entsorgungsbehältern sammeln.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90"/>
        </w:trPr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356D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356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56D6">
      <w:pPr>
        <w:rPr>
          <w:rFonts w:eastAsia="Times New Roman"/>
        </w:rPr>
      </w:pPr>
    </w:p>
    <w:sectPr w:rsidR="00000000" w:rsidSect="001356D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56D6"/>
    <w:rsid w:val="001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172B-A100-456A-9AA2-7888355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feuer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https://ssl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ghs100/GHS05.jpg" TargetMode="External"/><Relationship Id="rId11" Type="http://schemas.openxmlformats.org/officeDocument/2006/relationships/image" Target="https://ssl.gischem.de/images/symbole/handschuhe.gif" TargetMode="External"/><Relationship Id="rId5" Type="http://schemas.openxmlformats.org/officeDocument/2006/relationships/image" Target="https://ssl.gischem.de/images/ghs100/GHS02.jpg" TargetMode="External"/><Relationship Id="rId10" Type="http://schemas.openxmlformats.org/officeDocument/2006/relationships/image" Target="https://ssl.gischem.de/images/symbole/atemschutz.gif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schutzbrill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2015-08-18T14:40:00Z</dcterms:created>
  <dcterms:modified xsi:type="dcterms:W3CDTF">2015-08-18T14:40:00Z</dcterms:modified>
</cp:coreProperties>
</file>